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</w:pPr>
      <w:r>
        <w:t xml:space="preserve">Приложение</w:t>
      </w:r>
      <w:r/>
    </w:p>
    <w:p>
      <w:pPr>
        <w:jc w:val="right"/>
      </w:pPr>
      <w:r/>
      <w:r/>
    </w:p>
    <w:p>
      <w:pPr>
        <w:jc w:val="center"/>
        <w:rPr>
          <w:b/>
          <w:bCs/>
        </w:rPr>
      </w:pPr>
      <w:r>
        <w:rPr>
          <w:b/>
          <w:bCs/>
        </w:rPr>
        <w:t xml:space="preserve">ИНФОРМАЦИОННАЯ СПРАВКА: </w:t>
      </w:r>
      <w:r>
        <w:rPr>
          <w:b/>
          <w:bCs/>
        </w:rPr>
        <w:br/>
      </w:r>
      <w:r>
        <w:rPr>
          <w:b/>
          <w:bCs/>
        </w:rPr>
        <w:t xml:space="preserve">ПРОЕКТ «БИЛЕТ В БУДУЩЕЕ» В БЕЛГОРОДСКОЙ ОБЛАСТИ </w:t>
      </w:r>
      <w:r>
        <w:rPr>
          <w:b/>
          <w:bCs/>
        </w:rPr>
        <w:t xml:space="preserve">В </w:t>
      </w:r>
      <w:r>
        <w:rPr>
          <w:b/>
          <w:bCs/>
        </w:rPr>
        <w:t xml:space="preserve">2025 Г</w:t>
      </w:r>
      <w:r>
        <w:rPr>
          <w:b/>
          <w:bCs/>
        </w:rPr>
        <w:t xml:space="preserve">ОДУ</w:t>
      </w:r>
      <w:r>
        <w:rPr>
          <w:b/>
          <w:bCs/>
        </w:rPr>
      </w:r>
    </w:p>
    <w:p>
      <w:pPr>
        <w:jc w:val="both"/>
        <w:rPr>
          <w:b/>
          <w:bCs/>
        </w:rPr>
      </w:pPr>
      <w:r>
        <w:rPr>
          <w:b/>
          <w:bCs/>
        </w:rPr>
        <w:t xml:space="preserve">Общие сведения о проекте</w:t>
      </w:r>
      <w:r>
        <w:rPr>
          <w:b/>
          <w:bCs/>
        </w:rPr>
      </w:r>
    </w:p>
    <w:p>
      <w:pPr>
        <w:jc w:val="both"/>
      </w:pPr>
      <w:r>
        <w:rPr>
          <w:b/>
          <w:bCs/>
        </w:rPr>
        <w:t xml:space="preserve">«Билет в будущее»</w:t>
      </w:r>
      <w:r>
        <w:t xml:space="preserve"> — это современная комплексная система профориентации, инициированная Президентом Российской Федерации в 2018 году. В о</w:t>
      </w:r>
      <w:r>
        <w:t xml:space="preserve">тличие от традиционных методов, проект предлагает разносторонний подход к профессиональному самоопределению учащихся, объединяя диагностику, практические пробы и индивидуальные рекомендации для построения оптимальной образовательной и карьерной траектории.</w:t>
      </w:r>
      <w:r/>
    </w:p>
    <w:p>
      <w:pPr>
        <w:jc w:val="both"/>
      </w:pPr>
      <w:r>
        <w:t xml:space="preserve">В 2025 году проект реализуется в рамках федерального проекта «Профессионалитет» национального проекта «Молодёжь и дети». В Белгородской области к концу 2025 года проект охватит </w:t>
      </w:r>
      <w:r>
        <w:rPr>
          <w:b/>
          <w:bCs/>
        </w:rPr>
        <w:t xml:space="preserve">32 374 школьника</w:t>
      </w:r>
      <w:r>
        <w:t xml:space="preserve">, что представляет собой значительный вклад в формирование осознанного и обоснованного профессионального выбора у молодого поколения региона.</w:t>
      </w:r>
      <w:r/>
    </w:p>
    <w:p>
      <w:pPr>
        <w:jc w:val="both"/>
        <w:rPr>
          <w:b/>
          <w:bCs/>
        </w:rPr>
      </w:pPr>
      <w:r>
        <w:rPr>
          <w:b/>
          <w:bCs/>
        </w:rPr>
        <w:t xml:space="preserve">Методология и этапы проекта</w:t>
      </w:r>
      <w:r>
        <w:rPr>
          <w:b/>
          <w:bCs/>
        </w:rPr>
      </w:r>
    </w:p>
    <w:p>
      <w:pPr>
        <w:jc w:val="both"/>
      </w:pPr>
      <w:r>
        <w:t xml:space="preserve">Методология «Билета в будущее» заключается в г</w:t>
      </w:r>
      <w:r>
        <w:t xml:space="preserve">лубоком и последовательном погружении школьников в мир профессий. Это постепенный процесс, где выбор будущей профессии рассматривается не как разовое решение, а как результат комплексного самоисследования, подкреплённого объективными данными о рынке труда.</w:t>
      </w:r>
      <w:r/>
    </w:p>
    <w:p>
      <w:pPr>
        <w:jc w:val="both"/>
      </w:pPr>
      <w:r>
        <w:t xml:space="preserve">Программа проекта представляет собой три ключевых механизма:</w:t>
      </w:r>
      <w:r/>
    </w:p>
    <w:p>
      <w:pPr>
        <w:numPr>
          <w:ilvl w:val="0"/>
          <w:numId w:val="1"/>
        </w:numPr>
        <w:jc w:val="both"/>
      </w:pPr>
      <w:r>
        <w:rPr>
          <w:b/>
          <w:bCs/>
        </w:rPr>
        <w:t xml:space="preserve">Многоступенчатая профориентационная диагностика</w:t>
      </w:r>
      <w:r>
        <w:t xml:space="preserve"> — инновационное онлайн-тестирование, выявляющее не только профессиональные интересы и склонности, но и личностные качества, особенности темперамента и стратегии принятия решений.</w:t>
      </w:r>
      <w:r/>
    </w:p>
    <w:p>
      <w:pPr>
        <w:numPr>
          <w:ilvl w:val="0"/>
          <w:numId w:val="1"/>
        </w:numPr>
        <w:jc w:val="both"/>
      </w:pPr>
      <w:r>
        <w:rPr>
          <w:b/>
          <w:bCs/>
        </w:rPr>
        <w:t xml:space="preserve">Профессиональные пробы под руководством экспертов</w:t>
      </w:r>
      <w:r>
        <w:t xml:space="preserve"> — школьники получают возможность на практике познакомиться с различными профессиями, участвуя в мастер-классах, решая кейсы и выполняя реальные практические задания.</w:t>
      </w:r>
      <w:r/>
    </w:p>
    <w:p>
      <w:pPr>
        <w:numPr>
          <w:ilvl w:val="0"/>
          <w:numId w:val="1"/>
        </w:numPr>
        <w:jc w:val="both"/>
      </w:pPr>
      <w:r>
        <w:rPr>
          <w:b/>
          <w:bCs/>
        </w:rPr>
        <w:t xml:space="preserve">Персональные рекомендации по построению образовательно-карьерной траектории</w:t>
      </w:r>
      <w:r>
        <w:t xml:space="preserve"> — на основе обобщённых данных диагностики и результатов профпроб формируется индивидуальный план развития для каждого участника.</w:t>
      </w:r>
      <w:r/>
    </w:p>
    <w:p>
      <w:pPr>
        <w:jc w:val="both"/>
      </w:pPr>
      <w:r>
        <w:t xml:space="preserve">Особое внимание в проекте уделяется </w:t>
      </w:r>
      <w:r>
        <w:rPr>
          <w:b/>
          <w:bCs/>
        </w:rPr>
        <w:t xml:space="preserve">возрастным особенностям</w:t>
      </w:r>
      <w:r>
        <w:t xml:space="preserve">:</w:t>
      </w:r>
      <w:r/>
    </w:p>
    <w:p>
      <w:pPr>
        <w:numPr>
          <w:ilvl w:val="0"/>
          <w:numId w:val="2"/>
        </w:numPr>
        <w:jc w:val="both"/>
      </w:pPr>
      <w:r>
        <w:t xml:space="preserve">Учащиеся </w:t>
      </w:r>
      <w:r>
        <w:rPr>
          <w:b/>
          <w:bCs/>
        </w:rPr>
        <w:t xml:space="preserve">6–7 классов</w:t>
      </w:r>
      <w:r>
        <w:t xml:space="preserve"> знакомятся с базовой информацией о мире профессий и выявляют свои интересы.</w:t>
      </w:r>
      <w:r/>
    </w:p>
    <w:p>
      <w:pPr>
        <w:numPr>
          <w:ilvl w:val="0"/>
          <w:numId w:val="2"/>
        </w:numPr>
        <w:jc w:val="both"/>
      </w:pPr>
      <w:r>
        <w:t xml:space="preserve">Для </w:t>
      </w:r>
      <w:r>
        <w:rPr>
          <w:b/>
          <w:bCs/>
        </w:rPr>
        <w:t xml:space="preserve">8–9 классов</w:t>
      </w:r>
      <w:r>
        <w:t xml:space="preserve"> акцент делается на выборе образовательного направления.</w:t>
      </w:r>
      <w:r/>
    </w:p>
    <w:p>
      <w:pPr>
        <w:numPr>
          <w:ilvl w:val="0"/>
          <w:numId w:val="2"/>
        </w:numPr>
        <w:jc w:val="both"/>
      </w:pPr>
      <w:r>
        <w:rPr>
          <w:b/>
          <w:bCs/>
        </w:rPr>
        <w:t xml:space="preserve">Старшеклассники (10–11 классы)</w:t>
      </w:r>
      <w:r>
        <w:t xml:space="preserve"> работают над конкретизацией будущего профессионального пути и разработкой карьерного плана.</w:t>
      </w:r>
      <w:r/>
    </w:p>
    <w:p>
      <w:pPr>
        <w:jc w:val="both"/>
        <w:rPr>
          <w:b/>
          <w:bCs/>
        </w:rPr>
      </w:pPr>
      <w:r>
        <w:rPr>
          <w:b/>
          <w:bCs/>
        </w:rPr>
        <w:t xml:space="preserve">Участники и партнеры в Белгородской области</w:t>
      </w:r>
      <w:r>
        <w:rPr>
          <w:b/>
          <w:bCs/>
        </w:rPr>
      </w:r>
    </w:p>
    <w:p>
      <w:pPr>
        <w:jc w:val="both"/>
      </w:pPr>
      <w:r>
        <w:t xml:space="preserve">В проекте принимают активное участие </w:t>
      </w:r>
      <w:r>
        <w:rPr>
          <w:b/>
          <w:bCs/>
        </w:rPr>
        <w:t xml:space="preserve">33 профессиональных образовательных организации</w:t>
      </w:r>
      <w:r>
        <w:t xml:space="preserve"> Белгородской области, а также ряд ключевых предприятий-партнеров. Среди них:</w:t>
      </w:r>
      <w:r/>
    </w:p>
    <w:p>
      <w:pPr>
        <w:jc w:val="both"/>
      </w:pPr>
      <w:r>
        <w:rPr>
          <w:b/>
          <w:bCs/>
        </w:rPr>
        <w:t xml:space="preserve">Промышленность и производство:</w:t>
      </w:r>
      <w:r/>
    </w:p>
    <w:p>
      <w:pPr>
        <w:numPr>
          <w:ilvl w:val="0"/>
          <w:numId w:val="3"/>
        </w:numPr>
        <w:jc w:val="both"/>
      </w:pPr>
      <w:r>
        <w:t xml:space="preserve">АНО ДПО «Учебный центр профподготовки ЭФКО»</w:t>
      </w:r>
      <w:r/>
    </w:p>
    <w:p>
      <w:pPr>
        <w:numPr>
          <w:ilvl w:val="0"/>
          <w:numId w:val="3"/>
        </w:numPr>
        <w:jc w:val="both"/>
      </w:pPr>
      <w:r>
        <w:t xml:space="preserve">ЗАО МК «АВИДА»</w:t>
      </w:r>
      <w:r/>
    </w:p>
    <w:p>
      <w:pPr>
        <w:numPr>
          <w:ilvl w:val="0"/>
          <w:numId w:val="3"/>
        </w:numPr>
        <w:jc w:val="both"/>
      </w:pPr>
      <w:r>
        <w:t xml:space="preserve">ООО «Белэнергомаш - БЗЭМ»</w:t>
      </w:r>
      <w:r/>
    </w:p>
    <w:p>
      <w:pPr>
        <w:numPr>
          <w:ilvl w:val="0"/>
          <w:numId w:val="3"/>
        </w:numPr>
        <w:jc w:val="both"/>
      </w:pPr>
      <w:r>
        <w:t xml:space="preserve">АО «Старооскольский завод автотракторного электрооборудования им. А.М. Мамонова»</w:t>
      </w:r>
      <w:r/>
    </w:p>
    <w:p>
      <w:pPr>
        <w:numPr>
          <w:ilvl w:val="0"/>
          <w:numId w:val="3"/>
        </w:numPr>
        <w:jc w:val="both"/>
      </w:pPr>
      <w:r>
        <w:t xml:space="preserve">АО «Белгородский абразивный завод им. А.И. Сафонова»</w:t>
      </w:r>
      <w:r/>
    </w:p>
    <w:p>
      <w:pPr>
        <w:numPr>
          <w:ilvl w:val="0"/>
          <w:numId w:val="3"/>
        </w:numPr>
        <w:jc w:val="both"/>
      </w:pPr>
      <w:r>
        <w:t xml:space="preserve">ООО СЗ «УК ЖБК-1»</w:t>
      </w:r>
      <w:r/>
    </w:p>
    <w:p>
      <w:pPr>
        <w:numPr>
          <w:ilvl w:val="0"/>
          <w:numId w:val="3"/>
        </w:numPr>
        <w:jc w:val="both"/>
      </w:pPr>
      <w:r>
        <w:t xml:space="preserve">ООО Завод «Краски КВИЛ»</w:t>
      </w:r>
      <w:r/>
    </w:p>
    <w:p>
      <w:pPr>
        <w:jc w:val="both"/>
      </w:pPr>
      <w:r>
        <w:rPr>
          <w:b/>
          <w:bCs/>
        </w:rPr>
        <w:t xml:space="preserve">Агропромышленный комплекс:</w:t>
      </w:r>
      <w:r/>
    </w:p>
    <w:p>
      <w:pPr>
        <w:numPr>
          <w:ilvl w:val="0"/>
          <w:numId w:val="4"/>
        </w:numPr>
        <w:jc w:val="both"/>
      </w:pPr>
      <w:r>
        <w:t xml:space="preserve">АНО «Корпоративная академия «Большое крыло» (АПХ «Зеленая долина»)</w:t>
      </w:r>
      <w:r/>
    </w:p>
    <w:p>
      <w:pPr>
        <w:numPr>
          <w:ilvl w:val="0"/>
          <w:numId w:val="4"/>
        </w:numPr>
        <w:jc w:val="both"/>
      </w:pPr>
      <w:r>
        <w:t xml:space="preserve">ООО «АПК Промагро»</w:t>
      </w:r>
      <w:r/>
    </w:p>
    <w:p>
      <w:pPr>
        <w:numPr>
          <w:ilvl w:val="0"/>
          <w:numId w:val="4"/>
        </w:numPr>
        <w:jc w:val="both"/>
      </w:pPr>
      <w:r>
        <w:t xml:space="preserve">Инновационный центр ООО «Бирюч»</w:t>
      </w:r>
      <w:r/>
    </w:p>
    <w:p>
      <w:pPr>
        <w:jc w:val="both"/>
      </w:pPr>
      <w:r>
        <w:rPr>
          <w:b/>
          <w:bCs/>
        </w:rPr>
        <w:t xml:space="preserve">Транспорт, логистика и другие отрасли:</w:t>
      </w:r>
      <w:r/>
    </w:p>
    <w:p>
      <w:pPr>
        <w:numPr>
          <w:ilvl w:val="0"/>
          <w:numId w:val="5"/>
        </w:numPr>
        <w:jc w:val="both"/>
      </w:pPr>
      <w:r>
        <w:t xml:space="preserve">Юго-Восточная железная дорога — филиал ОАО «РЖД»</w:t>
      </w:r>
      <w:r/>
    </w:p>
    <w:p>
      <w:pPr>
        <w:numPr>
          <w:ilvl w:val="0"/>
          <w:numId w:val="5"/>
        </w:numPr>
        <w:jc w:val="both"/>
      </w:pPr>
      <w:r>
        <w:t xml:space="preserve">БРОО «Облестной кинологический центр»</w:t>
      </w:r>
      <w:r/>
    </w:p>
    <w:p>
      <w:pPr>
        <w:numPr>
          <w:ilvl w:val="0"/>
          <w:numId w:val="5"/>
        </w:numPr>
        <w:jc w:val="both"/>
      </w:pPr>
      <w:r>
        <w:t xml:space="preserve">ОГБУЗ «Валуйская ЦРБ»</w:t>
      </w:r>
      <w:r/>
    </w:p>
    <w:p>
      <w:pPr>
        <w:numPr>
          <w:ilvl w:val="0"/>
          <w:numId w:val="5"/>
        </w:numPr>
        <w:jc w:val="both"/>
      </w:pPr>
      <w:r>
        <w:t xml:space="preserve">ОГБУЗ «Центр крови Белгородской области»</w:t>
      </w:r>
      <w:r/>
    </w:p>
    <w:p>
      <w:pPr>
        <w:numPr>
          <w:ilvl w:val="0"/>
          <w:numId w:val="5"/>
        </w:numPr>
        <w:jc w:val="both"/>
      </w:pPr>
      <w:r>
        <w:t xml:space="preserve">АНО «Цифровая экономика»</w:t>
      </w:r>
      <w:r/>
    </w:p>
    <w:p>
      <w:pPr>
        <w:numPr>
          <w:ilvl w:val="0"/>
          <w:numId w:val="5"/>
        </w:numPr>
        <w:jc w:val="both"/>
      </w:pPr>
      <w:r>
        <w:t xml:space="preserve">Центрально-Чернозёмный банк ПАО Сбербанк</w:t>
      </w:r>
      <w:r/>
    </w:p>
    <w:p>
      <w:pPr>
        <w:jc w:val="both"/>
      </w:pPr>
      <w:r>
        <w:t xml:space="preserve">В рамках профессиональных проб дети имеют уникальную возможность попроб</w:t>
      </w:r>
      <w:r>
        <w:t xml:space="preserve">овать себя в роли специалистов различных направлений, выполняя реальные практические задания под руководством опытных экспертов. Кроме того, в ходе экскурсий на предприятия школьники знакомятся с производственными процессами и спецификой профессий изнутри.</w:t>
      </w:r>
      <w:r/>
    </w:p>
    <w:p>
      <w:pPr>
        <w:jc w:val="both"/>
        <w:rPr>
          <w:b/>
          <w:bCs/>
        </w:rPr>
      </w:pPr>
      <w:r>
        <w:rPr>
          <w:b/>
          <w:bCs/>
        </w:rPr>
        <w:t xml:space="preserve">Цели и перспективы развития</w:t>
      </w:r>
      <w:r>
        <w:rPr>
          <w:b/>
          <w:bCs/>
        </w:rPr>
      </w:r>
    </w:p>
    <w:p>
      <w:pPr>
        <w:jc w:val="both"/>
      </w:pPr>
      <w:r>
        <w:t xml:space="preserve">Как отмечает руководитель проекта в Белгородской области Татьяна Александровна Жукова: </w:t>
      </w:r>
      <w:r>
        <w:rPr>
          <w:i/>
          <w:iCs/>
        </w:rPr>
        <w:t xml:space="preserve">«Для нас проект «Билет в будущее» — это не просто образовательная инициатива, это инвестиция в будущее наших детей и региона в целом. Мы стремимся предоставить каждому школьнику возможность не только лучше узнать себя, но и </w:t>
      </w:r>
      <w:r>
        <w:rPr>
          <w:i/>
          <w:iCs/>
        </w:rPr>
        <w:t xml:space="preserve">получить реальный опыт, который поможет сделать осознанный выбор профессии, востребованной на современном рынке труда»</w:t>
      </w:r>
      <w:r>
        <w:t xml:space="preserve">.</w:t>
      </w:r>
      <w:r/>
    </w:p>
    <w:p>
      <w:pPr>
        <w:jc w:val="both"/>
      </w:pPr>
      <w:r>
        <w:t xml:space="preserve">Проект продолжает активно развиваться, внося значительный вклад в развитие кадрового потенциала региона и формирование у молодёжи осознанного отношения к выбору будущей профессии. </w:t>
      </w:r>
      <w:r/>
    </w:p>
    <w:p>
      <w:pPr>
        <w:jc w:val="both"/>
      </w:pPr>
      <w:r>
        <w:t xml:space="preserve">Ожидается, что реализация проекта «Билет в будущее» в Белгородской области не только поможет школьникам в профессиональном самоопределении, но и в перспективе увеличит процент поступления в средние профессиональные образовательные учреждения региона</w:t>
      </w:r>
      <w:r>
        <w:t xml:space="preserve">.</w:t>
      </w:r>
      <w:r/>
    </w:p>
    <w:p>
      <w:pPr>
        <w:jc w:val="both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9525"/>
                <wp:effectExtent l="0" t="0" r="0" b="0"/>
                <wp:docPr id="1" name="_x0000_i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952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  <a:miter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jc w:val="both"/>
      </w:pPr>
      <w:r>
        <w:rPr>
          <w:i/>
          <w:iCs/>
        </w:rPr>
        <w:t xml:space="preserve">Информация актуальна на октябрь 2025 года.</w:t>
      </w:r>
      <w:r/>
    </w:p>
    <w:p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/>
      <w:r/>
      <w:r>
        <w:rPr>
          <w:b/>
          <w:bCs/>
        </w:rPr>
        <w:t xml:space="preserve">Контактная информация</w:t>
      </w:r>
      <w:r>
        <w:rPr>
          <w:b/>
          <w:bCs/>
        </w:rPr>
        <w:t xml:space="preserve">:</w:t>
      </w:r>
      <w:r>
        <w:rPr>
          <w:b/>
          <w:bCs/>
        </w:rPr>
        <w:br/>
      </w:r>
      <w:r>
        <w:rPr>
          <w:b/>
          <w:bCs/>
        </w:rPr>
        <w:br/>
        <w:t xml:space="preserve">Официальная ссылка на Вконтакте проекта: </w:t>
      </w:r>
      <w:hyperlink r:id="rId9" w:tooltip="https://vk.com/bvb_31" w:history="1">
        <w:r>
          <w:rPr>
            <w:rStyle w:val="696"/>
            <w:b/>
            <w:bCs/>
          </w:rPr>
          <w:t xml:space="preserve">https://vk.com/bvb_31</w:t>
        </w:r>
      </w:hyperlink>
      <w:r>
        <w:rPr>
          <w:b/>
          <w:bCs/>
        </w:rPr>
        <w:t xml:space="preserve"> </w:t>
      </w:r>
      <w:r>
        <w:rPr>
          <w:b/>
          <w:bCs/>
        </w:rPr>
        <w:br/>
      </w:r>
      <w:r>
        <w:rPr>
          <w:b/>
          <w:bCs/>
        </w:rPr>
        <w:br/>
      </w:r>
      <w:r>
        <w:t xml:space="preserve">Со следующей недели стартуют два конкурса с возможностью выиграть фирменный мерч проекта.</w:t>
      </w:r>
      <w:r/>
      <w:r/>
    </w:p>
    <w:p>
      <w:r>
        <w:t xml:space="preserve">Первый конкурс</w:t>
      </w:r>
      <w:r>
        <w:t xml:space="preserve"> — конкурс активности в сообществе. В меню группы есть рейтинг активности, и каждый четверг в 18:00 мы будем подводить итоги и разыгрывать призы среди самых активных подписчиков. Рейтинг формируется на основе лайков, комментариев и вовлечённости аудитории.</w:t>
      </w:r>
      <w:r/>
    </w:p>
    <w:p>
      <w:r/>
      <w:r/>
    </w:p>
    <w:p>
      <w:r>
        <w:t xml:space="preserve">Второй конкурс — рубрика «Мой билет в будущее». Участники</w:t>
      </w:r>
      <w:r>
        <w:t xml:space="preserve"> мероприятий могут записывать видеоролики о своём опыте, публиковать их в группах своих школ и отмечать наше сообщество гиперссылкой. В течение двух недель будет открыт голосование, и автор самого популярного видео получит ценный приз из фирменного набора.</w:t>
      </w:r>
      <w:r/>
    </w:p>
    <w:p>
      <w:r/>
      <w:r/>
    </w:p>
    <w:p>
      <w:pPr>
        <w:rPr>
          <w:b/>
          <w:bCs/>
        </w:rPr>
      </w:pPr>
      <w:r>
        <w:rPr>
          <w:b/>
          <w:bCs/>
        </w:rPr>
        <w:t xml:space="preserve">Бахмат Елизавета Сергеевна</w:t>
      </w:r>
      <w:r>
        <w:rPr>
          <w:b/>
          <w:bCs/>
        </w:rPr>
      </w:r>
    </w:p>
    <w:p>
      <w:r>
        <w:rPr>
          <w:b/>
          <w:bCs/>
        </w:rPr>
        <w:t xml:space="preserve">Менеджер по работе с социальными сетями проекта</w:t>
      </w:r>
      <w:r>
        <w:rPr>
          <w:b/>
          <w:bCs/>
        </w:rPr>
        <w:t xml:space="preserve">: </w:t>
      </w:r>
      <w:r/>
    </w:p>
    <w:p>
      <w:pPr>
        <w:numPr>
          <w:ilvl w:val="0"/>
          <w:numId w:val="22"/>
        </w:numPr>
      </w:pPr>
      <w:r>
        <w:rPr>
          <w:b/>
          <w:bCs/>
        </w:rPr>
        <w:t xml:space="preserve">Рабочий телефон:</w:t>
      </w:r>
      <w:r>
        <w:t xml:space="preserve"> +7 (4722) 380-851 (добавочный 222)</w:t>
      </w:r>
      <w:r/>
    </w:p>
    <w:p>
      <w:pPr>
        <w:numPr>
          <w:ilvl w:val="0"/>
          <w:numId w:val="22"/>
        </w:numPr>
      </w:pPr>
      <w:r>
        <w:rPr>
          <w:b/>
          <w:bCs/>
        </w:rPr>
        <w:t xml:space="preserve">Мобильный телефон:</w:t>
      </w:r>
      <w:r>
        <w:t xml:space="preserve"> +7 (960) 637-05-14</w:t>
      </w:r>
      <w:r/>
    </w:p>
    <w:p>
      <w:pPr>
        <w:ind w:left="360"/>
        <w:rPr>
          <w:i/>
          <w:iCs/>
          <w:u w:val="single"/>
        </w:rPr>
      </w:pPr>
      <w:r>
        <w:rPr>
          <w:i/>
          <w:iCs/>
          <w:u w:val="single"/>
        </w:rPr>
        <w:t xml:space="preserve">На связи во всех мессенджерах</w:t>
      </w:r>
      <w:r>
        <w:rPr>
          <w:i/>
          <w:iCs/>
          <w:u w:val="single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18"/>
  </w:num>
  <w:num w:numId="2">
    <w:abstractNumId w:val="1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19"/>
  </w:num>
  <w:num w:numId="8">
    <w:abstractNumId w:val="1"/>
  </w:num>
  <w:num w:numId="9">
    <w:abstractNumId w:val="17"/>
  </w:num>
  <w:num w:numId="10">
    <w:abstractNumId w:val="20"/>
  </w:num>
  <w:num w:numId="11">
    <w:abstractNumId w:val="0"/>
  </w:num>
  <w:num w:numId="12">
    <w:abstractNumId w:val="7"/>
  </w:num>
  <w:num w:numId="13">
    <w:abstractNumId w:val="14"/>
  </w:num>
  <w:num w:numId="14">
    <w:abstractNumId w:val="15"/>
  </w:num>
  <w:num w:numId="15">
    <w:abstractNumId w:val="9"/>
  </w:num>
  <w:num w:numId="16">
    <w:abstractNumId w:val="13"/>
  </w:num>
  <w:num w:numId="17">
    <w:abstractNumId w:val="21"/>
  </w:num>
  <w:num w:numId="18">
    <w:abstractNumId w:val="10"/>
  </w:num>
  <w:num w:numId="19">
    <w:abstractNumId w:val="12"/>
  </w:num>
  <w:num w:numId="20">
    <w:abstractNumId w:val="3"/>
  </w:num>
  <w:num w:numId="21">
    <w:abstractNumId w:val="16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1"/>
    <w:link w:val="66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71"/>
    <w:link w:val="66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71"/>
    <w:link w:val="66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71"/>
    <w:link w:val="66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71"/>
    <w:link w:val="66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71"/>
    <w:link w:val="66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71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71"/>
    <w:link w:val="66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71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71"/>
    <w:link w:val="683"/>
    <w:uiPriority w:val="10"/>
    <w:rPr>
      <w:sz w:val="48"/>
      <w:szCs w:val="48"/>
    </w:rPr>
  </w:style>
  <w:style w:type="character" w:styleId="37">
    <w:name w:val="Subtitle Char"/>
    <w:basedOn w:val="671"/>
    <w:link w:val="685"/>
    <w:uiPriority w:val="11"/>
    <w:rPr>
      <w:sz w:val="24"/>
      <w:szCs w:val="24"/>
    </w:rPr>
  </w:style>
  <w:style w:type="character" w:styleId="39">
    <w:name w:val="Quote Char"/>
    <w:link w:val="687"/>
    <w:uiPriority w:val="29"/>
    <w:rPr>
      <w:i/>
    </w:rPr>
  </w:style>
  <w:style w:type="character" w:styleId="41">
    <w:name w:val="Intense Quote Char"/>
    <w:link w:val="691"/>
    <w:uiPriority w:val="30"/>
    <w:rPr>
      <w:i/>
    </w:rPr>
  </w:style>
  <w:style w:type="paragraph" w:styleId="42">
    <w:name w:val="Header"/>
    <w:basedOn w:val="66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71"/>
    <w:link w:val="42"/>
    <w:uiPriority w:val="99"/>
  </w:style>
  <w:style w:type="paragraph" w:styleId="44">
    <w:name w:val="Footer"/>
    <w:basedOn w:val="66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71"/>
    <w:link w:val="44"/>
    <w:uiPriority w:val="99"/>
  </w:style>
  <w:style w:type="paragraph" w:styleId="46">
    <w:name w:val="Caption"/>
    <w:basedOn w:val="661"/>
    <w:next w:val="66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71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148">
    <w:name w:val="List Table 7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149">
    <w:name w:val="List Table 7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150">
    <w:name w:val="List Table 7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151">
    <w:name w:val="List Table 7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152">
    <w:name w:val="List Table 7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153">
    <w:name w:val="Lined - Accent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55">
    <w:name w:val="Lined - Accent 2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56">
    <w:name w:val="Lined - Accent 3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57">
    <w:name w:val="Lined - Accent 4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58">
    <w:name w:val="Lined - Accent 5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59">
    <w:name w:val="Lined - Accent 6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0">
    <w:name w:val="Bordered &amp; Lined - Accent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62">
    <w:name w:val="Bordered &amp; Lined - Accent 2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63">
    <w:name w:val="Bordered &amp; Lined - Accent 3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64">
    <w:name w:val="Bordered &amp; Lined - Accent 4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65">
    <w:name w:val="Bordered &amp; Lined - Accent 5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6">
    <w:name w:val="Bordered &amp; Lined - Accent 6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7">
    <w:name w:val="Bordered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6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1"/>
    <w:uiPriority w:val="99"/>
    <w:unhideWhenUsed/>
    <w:rPr>
      <w:vertAlign w:val="superscript"/>
    </w:rPr>
  </w:style>
  <w:style w:type="paragraph" w:styleId="178">
    <w:name w:val="endnote text"/>
    <w:basedOn w:val="66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1"/>
    <w:uiPriority w:val="99"/>
    <w:semiHidden/>
    <w:unhideWhenUsed/>
    <w:rPr>
      <w:vertAlign w:val="superscript"/>
    </w:rPr>
  </w:style>
  <w:style w:type="paragraph" w:styleId="181">
    <w:name w:val="toc 1"/>
    <w:basedOn w:val="661"/>
    <w:next w:val="66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1"/>
    <w:next w:val="66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1"/>
    <w:next w:val="66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1"/>
    <w:next w:val="66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1"/>
    <w:next w:val="66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1"/>
    <w:next w:val="66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1"/>
    <w:next w:val="66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1"/>
    <w:next w:val="66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1"/>
    <w:next w:val="66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1"/>
    <w:next w:val="661"/>
    <w:uiPriority w:val="99"/>
    <w:unhideWhenUsed/>
    <w:pPr>
      <w:spacing w:after="0" w:afterAutospacing="0"/>
    </w:pPr>
  </w:style>
  <w:style w:type="paragraph" w:styleId="661" w:default="1">
    <w:name w:val="Normal"/>
    <w:qFormat/>
  </w:style>
  <w:style w:type="paragraph" w:styleId="662">
    <w:name w:val="Heading 1"/>
    <w:basedOn w:val="661"/>
    <w:next w:val="661"/>
    <w:link w:val="674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63">
    <w:name w:val="Heading 2"/>
    <w:basedOn w:val="661"/>
    <w:next w:val="661"/>
    <w:link w:val="675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64">
    <w:name w:val="Heading 3"/>
    <w:basedOn w:val="661"/>
    <w:next w:val="661"/>
    <w:link w:val="676"/>
    <w:uiPriority w:val="9"/>
    <w:semiHidden/>
    <w:unhideWhenUsed/>
    <w:qFormat/>
    <w:pPr>
      <w:keepLines/>
      <w:keepNext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665">
    <w:name w:val="Heading 4"/>
    <w:basedOn w:val="661"/>
    <w:next w:val="661"/>
    <w:link w:val="677"/>
    <w:uiPriority w:val="9"/>
    <w:semiHidden/>
    <w:unhideWhenUsed/>
    <w:qFormat/>
    <w:pPr>
      <w:keepLines/>
      <w:keepNext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666">
    <w:name w:val="Heading 5"/>
    <w:basedOn w:val="661"/>
    <w:next w:val="661"/>
    <w:link w:val="678"/>
    <w:uiPriority w:val="9"/>
    <w:semiHidden/>
    <w:unhideWhenUsed/>
    <w:qFormat/>
    <w:pPr>
      <w:keepLines/>
      <w:keepNext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667">
    <w:name w:val="Heading 6"/>
    <w:basedOn w:val="661"/>
    <w:next w:val="661"/>
    <w:link w:val="679"/>
    <w:uiPriority w:val="9"/>
    <w:semiHidden/>
    <w:unhideWhenUsed/>
    <w:qFormat/>
    <w:pPr>
      <w:keepLines/>
      <w:keepNext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668">
    <w:name w:val="Heading 7"/>
    <w:basedOn w:val="661"/>
    <w:next w:val="661"/>
    <w:link w:val="680"/>
    <w:uiPriority w:val="9"/>
    <w:semiHidden/>
    <w:unhideWhenUsed/>
    <w:qFormat/>
    <w:pPr>
      <w:keepLines/>
      <w:keepNext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669">
    <w:name w:val="Heading 8"/>
    <w:basedOn w:val="661"/>
    <w:next w:val="661"/>
    <w:link w:val="681"/>
    <w:uiPriority w:val="9"/>
    <w:semiHidden/>
    <w:unhideWhenUsed/>
    <w:qFormat/>
    <w:pPr>
      <w:keepLines/>
      <w:keepNext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670">
    <w:name w:val="Heading 9"/>
    <w:basedOn w:val="661"/>
    <w:next w:val="661"/>
    <w:link w:val="682"/>
    <w:uiPriority w:val="9"/>
    <w:semiHidden/>
    <w:unhideWhenUsed/>
    <w:qFormat/>
    <w:pPr>
      <w:keepLines/>
      <w:keepNext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671" w:default="1">
    <w:name w:val="Default Paragraph Font"/>
    <w:uiPriority w:val="1"/>
    <w:semiHidden/>
    <w:unhideWhenUsed/>
  </w:style>
  <w:style w:type="table" w:styleId="67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3" w:default="1">
    <w:name w:val="No List"/>
    <w:uiPriority w:val="99"/>
    <w:semiHidden/>
    <w:unhideWhenUsed/>
  </w:style>
  <w:style w:type="character" w:styleId="674" w:customStyle="1">
    <w:name w:val="Заголовок 1 Знак"/>
    <w:basedOn w:val="671"/>
    <w:link w:val="662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675" w:customStyle="1">
    <w:name w:val="Заголовок 2 Знак"/>
    <w:basedOn w:val="671"/>
    <w:link w:val="663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676" w:customStyle="1">
    <w:name w:val="Заголовок 3 Знак"/>
    <w:basedOn w:val="671"/>
    <w:link w:val="664"/>
    <w:uiPriority w:val="9"/>
    <w:semiHidden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677" w:customStyle="1">
    <w:name w:val="Заголовок 4 Знак"/>
    <w:basedOn w:val="671"/>
    <w:link w:val="665"/>
    <w:uiPriority w:val="9"/>
    <w:semiHidden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678" w:customStyle="1">
    <w:name w:val="Заголовок 5 Знак"/>
    <w:basedOn w:val="671"/>
    <w:link w:val="666"/>
    <w:uiPriority w:val="9"/>
    <w:semiHidden/>
    <w:rPr>
      <w:rFonts w:asciiTheme="minorHAnsi" w:hAnsiTheme="minorHAnsi" w:eastAsiaTheme="majorEastAsia" w:cstheme="majorBidi"/>
      <w:color w:val="0f4761" w:themeColor="accent1" w:themeShade="BF"/>
    </w:rPr>
  </w:style>
  <w:style w:type="character" w:styleId="679" w:customStyle="1">
    <w:name w:val="Заголовок 6 Знак"/>
    <w:basedOn w:val="671"/>
    <w:link w:val="667"/>
    <w:uiPriority w:val="9"/>
    <w:semiHidden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680" w:customStyle="1">
    <w:name w:val="Заголовок 7 Знак"/>
    <w:basedOn w:val="671"/>
    <w:link w:val="668"/>
    <w:uiPriority w:val="9"/>
    <w:semiHidden/>
    <w:rPr>
      <w:rFonts w:asciiTheme="minorHAnsi" w:hAnsiTheme="minorHAnsi" w:eastAsiaTheme="majorEastAsia" w:cstheme="majorBidi"/>
      <w:color w:val="595959" w:themeColor="text1" w:themeTint="A6"/>
    </w:rPr>
  </w:style>
  <w:style w:type="character" w:styleId="681" w:customStyle="1">
    <w:name w:val="Заголовок 8 Знак"/>
    <w:basedOn w:val="671"/>
    <w:link w:val="669"/>
    <w:uiPriority w:val="9"/>
    <w:semiHidden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682" w:customStyle="1">
    <w:name w:val="Заголовок 9 Знак"/>
    <w:basedOn w:val="671"/>
    <w:link w:val="670"/>
    <w:uiPriority w:val="9"/>
    <w:semiHidden/>
    <w:rPr>
      <w:rFonts w:asciiTheme="minorHAnsi" w:hAnsiTheme="minorHAnsi" w:eastAsiaTheme="majorEastAsia" w:cstheme="majorBidi"/>
      <w:color w:val="272727" w:themeColor="text1" w:themeTint="D8"/>
    </w:rPr>
  </w:style>
  <w:style w:type="paragraph" w:styleId="683">
    <w:name w:val="Title"/>
    <w:basedOn w:val="661"/>
    <w:next w:val="661"/>
    <w:link w:val="684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84" w:customStyle="1">
    <w:name w:val="Заголовок Знак"/>
    <w:basedOn w:val="671"/>
    <w:link w:val="683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85">
    <w:name w:val="Subtitle"/>
    <w:basedOn w:val="661"/>
    <w:next w:val="661"/>
    <w:link w:val="686"/>
    <w:uiPriority w:val="11"/>
    <w:qFormat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686" w:customStyle="1">
    <w:name w:val="Подзаголовок Знак"/>
    <w:basedOn w:val="671"/>
    <w:link w:val="685"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687">
    <w:name w:val="Quote"/>
    <w:basedOn w:val="661"/>
    <w:next w:val="661"/>
    <w:link w:val="688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688" w:customStyle="1">
    <w:name w:val="Цитата 2 Знак"/>
    <w:basedOn w:val="671"/>
    <w:link w:val="687"/>
    <w:uiPriority w:val="29"/>
    <w:rPr>
      <w:i/>
      <w:iCs/>
      <w:color w:val="404040" w:themeColor="text1" w:themeTint="BF"/>
    </w:rPr>
  </w:style>
  <w:style w:type="paragraph" w:styleId="689">
    <w:name w:val="List Paragraph"/>
    <w:basedOn w:val="661"/>
    <w:uiPriority w:val="34"/>
    <w:qFormat/>
    <w:pPr>
      <w:contextualSpacing/>
      <w:ind w:left="720"/>
    </w:pPr>
  </w:style>
  <w:style w:type="character" w:styleId="690">
    <w:name w:val="Intense Emphasis"/>
    <w:basedOn w:val="671"/>
    <w:uiPriority w:val="21"/>
    <w:qFormat/>
    <w:rPr>
      <w:i/>
      <w:iCs/>
      <w:color w:val="0f4761" w:themeColor="accent1" w:themeShade="BF"/>
    </w:rPr>
  </w:style>
  <w:style w:type="paragraph" w:styleId="691">
    <w:name w:val="Intense Quote"/>
    <w:basedOn w:val="661"/>
    <w:next w:val="661"/>
    <w:link w:val="692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692" w:customStyle="1">
    <w:name w:val="Выделенная цитата Знак"/>
    <w:basedOn w:val="671"/>
    <w:link w:val="691"/>
    <w:uiPriority w:val="30"/>
    <w:rPr>
      <w:i/>
      <w:iCs/>
      <w:color w:val="0f4761" w:themeColor="accent1" w:themeShade="BF"/>
    </w:rPr>
  </w:style>
  <w:style w:type="character" w:styleId="693">
    <w:name w:val="Intense Reference"/>
    <w:basedOn w:val="671"/>
    <w:uiPriority w:val="32"/>
    <w:qFormat/>
    <w:rPr>
      <w:b/>
      <w:bCs/>
      <w:smallCaps/>
      <w:color w:val="0f4761" w:themeColor="accent1" w:themeShade="BF"/>
      <w:spacing w:val="5"/>
    </w:rPr>
  </w:style>
  <w:style w:type="table" w:styleId="694">
    <w:name w:val="Table Grid"/>
    <w:basedOn w:val="67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95">
    <w:name w:val="Strong"/>
    <w:basedOn w:val="671"/>
    <w:uiPriority w:val="22"/>
    <w:qFormat/>
    <w:rPr>
      <w:b/>
      <w:bCs/>
    </w:rPr>
  </w:style>
  <w:style w:type="character" w:styleId="696">
    <w:name w:val="Hyperlink"/>
    <w:basedOn w:val="671"/>
    <w:uiPriority w:val="99"/>
    <w:unhideWhenUsed/>
    <w:rPr>
      <w:color w:val="467886" w:themeColor="hyperlink"/>
      <w:u w:val="single"/>
    </w:rPr>
  </w:style>
  <w:style w:type="character" w:styleId="697">
    <w:name w:val="Unresolved Mention"/>
    <w:basedOn w:val="67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vk.com/bvb_3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Бахмат</dc:creator>
  <cp:keywords/>
  <dc:description/>
  <cp:lastModifiedBy>user</cp:lastModifiedBy>
  <cp:revision>14</cp:revision>
  <dcterms:created xsi:type="dcterms:W3CDTF">2025-10-21T08:04:00Z</dcterms:created>
  <dcterms:modified xsi:type="dcterms:W3CDTF">2025-10-30T11:32:46Z</dcterms:modified>
</cp:coreProperties>
</file>